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523" w:rsidRDefault="00A52A00" w:rsidP="00BA5523">
      <w:pPr>
        <w:jc w:val="right"/>
        <w:rPr>
          <w:rFonts w:ascii="Arial" w:eastAsia="Times New Roman" w:hAnsi="Arial" w:cs="Arial"/>
          <w:bCs/>
          <w:sz w:val="20"/>
          <w:szCs w:val="20"/>
        </w:rPr>
      </w:pPr>
      <w:r>
        <w:rPr>
          <w:noProof/>
          <w:lang w:val="es-UY" w:eastAsia="es-UY"/>
        </w:rPr>
        <w:drawing>
          <wp:inline distT="0" distB="0" distL="0" distR="0">
            <wp:extent cx="2400300" cy="904875"/>
            <wp:effectExtent l="0" t="0" r="0" b="0"/>
            <wp:docPr id="5" name="Picture 5" descr="cid:image001.png@01D32191.7C318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32191.7C3181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523" w:rsidRDefault="00BA5523" w:rsidP="00BA5523">
      <w:pPr>
        <w:rPr>
          <w:rFonts w:ascii="Arial" w:eastAsia="Times New Roman" w:hAnsi="Arial" w:cs="Arial"/>
          <w:bCs/>
          <w:sz w:val="20"/>
          <w:szCs w:val="20"/>
        </w:rPr>
      </w:pPr>
    </w:p>
    <w:p w:rsidR="00BA5523" w:rsidRPr="00ED329A" w:rsidRDefault="00C11823" w:rsidP="00BA5523">
      <w:pPr>
        <w:rPr>
          <w:rFonts w:eastAsia="Times New Roman" w:cstheme="minorHAnsi"/>
          <w:bCs/>
          <w:sz w:val="20"/>
          <w:szCs w:val="20"/>
        </w:rPr>
      </w:pPr>
      <w:r w:rsidRPr="00ED329A">
        <w:rPr>
          <w:rFonts w:cstheme="minorHAnsi"/>
          <w:b/>
          <w:sz w:val="28"/>
          <w:szCs w:val="28"/>
        </w:rPr>
        <w:t>EUTR UPDATE 201</w:t>
      </w:r>
      <w:r w:rsidR="008C6FD9">
        <w:rPr>
          <w:rFonts w:cstheme="minorHAnsi"/>
          <w:b/>
          <w:sz w:val="28"/>
          <w:szCs w:val="28"/>
        </w:rPr>
        <w:t>8</w:t>
      </w:r>
    </w:p>
    <w:p w:rsidR="00BA5523" w:rsidRPr="00ED329A" w:rsidRDefault="00C11823" w:rsidP="003C5290">
      <w:pPr>
        <w:rPr>
          <w:rFonts w:cstheme="minorHAnsi"/>
          <w:iCs/>
        </w:rPr>
      </w:pPr>
      <w:r w:rsidRPr="00ED329A">
        <w:rPr>
          <w:rFonts w:eastAsia="Times New Roman" w:cstheme="minorHAnsi"/>
          <w:bCs/>
        </w:rPr>
        <w:t xml:space="preserve">In support of your ongoing Due Diligence process and legal obligations under the EUTR, please find below updated information </w:t>
      </w:r>
      <w:r w:rsidR="00A3587B" w:rsidRPr="00ED329A">
        <w:rPr>
          <w:rFonts w:eastAsia="Times New Roman" w:cstheme="minorHAnsi"/>
          <w:bCs/>
        </w:rPr>
        <w:t xml:space="preserve">for </w:t>
      </w:r>
      <w:r w:rsidR="00ED329A" w:rsidRPr="00ED329A">
        <w:rPr>
          <w:rFonts w:cstheme="minorHAnsi"/>
        </w:rPr>
        <w:t>LUMIN™ plywood</w:t>
      </w:r>
      <w:r w:rsidR="00ED329A" w:rsidRPr="00ED329A">
        <w:rPr>
          <w:rFonts w:eastAsia="Times New Roman" w:cstheme="minorHAnsi"/>
          <w:bCs/>
        </w:rPr>
        <w:t xml:space="preserve"> </w:t>
      </w:r>
      <w:r w:rsidR="00436264">
        <w:rPr>
          <w:rFonts w:eastAsia="Times New Roman" w:cstheme="minorHAnsi"/>
          <w:bCs/>
        </w:rPr>
        <w:t>for 201</w:t>
      </w:r>
      <w:r w:rsidR="008C6FD9">
        <w:rPr>
          <w:rFonts w:eastAsia="Times New Roman" w:cstheme="minorHAnsi"/>
          <w:bCs/>
        </w:rPr>
        <w:t>8</w:t>
      </w:r>
      <w:r w:rsidRPr="00ED329A">
        <w:rPr>
          <w:rFonts w:eastAsia="Times New Roman" w:cstheme="minorHAnsi"/>
          <w:bCs/>
        </w:rPr>
        <w:t xml:space="preserve">. </w:t>
      </w:r>
      <w:r w:rsidR="003C5290" w:rsidRPr="00ED329A">
        <w:rPr>
          <w:rFonts w:eastAsia="Times New Roman" w:cstheme="minorHAnsi"/>
          <w:bCs/>
        </w:rPr>
        <w:t>It is</w:t>
      </w:r>
      <w:r w:rsidR="00BA5523" w:rsidRPr="00ED329A">
        <w:rPr>
          <w:rFonts w:eastAsia="Times New Roman" w:cstheme="minorHAnsi"/>
          <w:bCs/>
        </w:rPr>
        <w:t xml:space="preserve"> recommended that </w:t>
      </w:r>
      <w:r w:rsidR="003C5290" w:rsidRPr="00ED329A">
        <w:rPr>
          <w:rFonts w:eastAsia="Times New Roman" w:cstheme="minorHAnsi"/>
          <w:bCs/>
        </w:rPr>
        <w:t xml:space="preserve">this is held on file </w:t>
      </w:r>
      <w:r w:rsidR="00BA5523" w:rsidRPr="00ED329A">
        <w:rPr>
          <w:rFonts w:cstheme="minorHAnsi"/>
        </w:rPr>
        <w:t>as</w:t>
      </w:r>
      <w:r w:rsidR="00ED329A" w:rsidRPr="00ED329A">
        <w:rPr>
          <w:rFonts w:cstheme="minorHAnsi"/>
        </w:rPr>
        <w:t xml:space="preserve"> evidence under</w:t>
      </w:r>
      <w:r w:rsidR="00BA5523" w:rsidRPr="00ED329A">
        <w:rPr>
          <w:rFonts w:cstheme="minorHAnsi"/>
        </w:rPr>
        <w:t xml:space="preserve"> EUTR</w:t>
      </w:r>
      <w:r w:rsidR="00ED329A" w:rsidRPr="00ED329A">
        <w:rPr>
          <w:rFonts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4"/>
        <w:gridCol w:w="5776"/>
      </w:tblGrid>
      <w:tr w:rsidR="00BA5523" w:rsidRPr="00ED329A" w:rsidTr="00FA62AB">
        <w:tc>
          <w:tcPr>
            <w:tcW w:w="3652" w:type="dxa"/>
          </w:tcPr>
          <w:p w:rsidR="00BA5523" w:rsidRPr="00ED329A" w:rsidRDefault="00BA5523" w:rsidP="00FA62A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</w:tcPr>
          <w:p w:rsidR="00BA5523" w:rsidRPr="00ED329A" w:rsidRDefault="00BA5523" w:rsidP="00FA62A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D329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Information relating to LUMIN™ plywood </w:t>
            </w:r>
          </w:p>
        </w:tc>
      </w:tr>
      <w:tr w:rsidR="00BA5523" w:rsidRPr="00ED329A" w:rsidTr="00FA62AB">
        <w:tc>
          <w:tcPr>
            <w:tcW w:w="3652" w:type="dxa"/>
          </w:tcPr>
          <w:p w:rsidR="00BA5523" w:rsidRPr="00ED329A" w:rsidRDefault="00BA5523" w:rsidP="00FA62A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D329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Description of species in English name or where applicable Botanical name.</w:t>
            </w:r>
          </w:p>
        </w:tc>
        <w:tc>
          <w:tcPr>
            <w:tcW w:w="5924" w:type="dxa"/>
          </w:tcPr>
          <w:p w:rsidR="00BA5523" w:rsidRPr="00ED329A" w:rsidRDefault="00BA5523" w:rsidP="00FA62A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D329A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Eucalyptus, Pine (</w:t>
            </w:r>
            <w:r w:rsidRPr="00ED329A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US"/>
              </w:rPr>
              <w:t xml:space="preserve">Eucalyptus </w:t>
            </w:r>
            <w:proofErr w:type="spellStart"/>
            <w:r w:rsidRPr="00ED329A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US"/>
              </w:rPr>
              <w:t>grandis</w:t>
            </w:r>
            <w:proofErr w:type="spellEnd"/>
            <w:r w:rsidRPr="00ED329A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US"/>
              </w:rPr>
              <w:t xml:space="preserve">; Pinus </w:t>
            </w:r>
            <w:proofErr w:type="spellStart"/>
            <w:r w:rsidRPr="00ED329A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US"/>
              </w:rPr>
              <w:t>Taeda</w:t>
            </w:r>
            <w:proofErr w:type="spellEnd"/>
            <w:r w:rsidRPr="00ED329A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US"/>
              </w:rPr>
              <w:t>,</w:t>
            </w:r>
            <w:r w:rsidRPr="00ED329A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US"/>
              </w:rPr>
              <w:t xml:space="preserve"> Pinus </w:t>
            </w:r>
            <w:proofErr w:type="spellStart"/>
            <w:r w:rsidRPr="00ED329A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US"/>
              </w:rPr>
              <w:t>elliottii</w:t>
            </w:r>
            <w:proofErr w:type="spellEnd"/>
            <w:r w:rsidRPr="00ED329A"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val="en-US"/>
              </w:rPr>
              <w:t>)</w:t>
            </w:r>
          </w:p>
        </w:tc>
      </w:tr>
      <w:tr w:rsidR="00BA5523" w:rsidRPr="00ED329A" w:rsidTr="00FA62AB">
        <w:tc>
          <w:tcPr>
            <w:tcW w:w="3652" w:type="dxa"/>
          </w:tcPr>
          <w:p w:rsidR="00BA5523" w:rsidRPr="00ED329A" w:rsidRDefault="00BA5523" w:rsidP="00FA62A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D329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Country of harvest</w:t>
            </w:r>
          </w:p>
        </w:tc>
        <w:tc>
          <w:tcPr>
            <w:tcW w:w="5924" w:type="dxa"/>
          </w:tcPr>
          <w:p w:rsidR="00BA5523" w:rsidRPr="00ED329A" w:rsidRDefault="00BA5523" w:rsidP="00FA62A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D329A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Uruguay</w:t>
            </w:r>
          </w:p>
        </w:tc>
      </w:tr>
      <w:tr w:rsidR="00BA5523" w:rsidRPr="00ED329A" w:rsidTr="00FA62AB">
        <w:tc>
          <w:tcPr>
            <w:tcW w:w="3652" w:type="dxa"/>
          </w:tcPr>
          <w:p w:rsidR="00BA5523" w:rsidRPr="00ED329A" w:rsidRDefault="00BA5523" w:rsidP="00FA62A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ED329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Country of manufacture </w:t>
            </w:r>
          </w:p>
        </w:tc>
        <w:tc>
          <w:tcPr>
            <w:tcW w:w="5924" w:type="dxa"/>
          </w:tcPr>
          <w:p w:rsidR="00BA5523" w:rsidRPr="00ED329A" w:rsidRDefault="00BA5523" w:rsidP="00FA62A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D329A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Uruguay</w:t>
            </w:r>
          </w:p>
        </w:tc>
      </w:tr>
      <w:tr w:rsidR="00BA5523" w:rsidRPr="00ED329A" w:rsidTr="00FA62AB">
        <w:tc>
          <w:tcPr>
            <w:tcW w:w="3652" w:type="dxa"/>
          </w:tcPr>
          <w:p w:rsidR="00BA5523" w:rsidRPr="00ED329A" w:rsidRDefault="00BA5523" w:rsidP="00FA62A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ED329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Forest source </w:t>
            </w:r>
          </w:p>
        </w:tc>
        <w:tc>
          <w:tcPr>
            <w:tcW w:w="5924" w:type="dxa"/>
          </w:tcPr>
          <w:p w:rsidR="00BA5523" w:rsidRPr="00ED329A" w:rsidRDefault="00BA5523" w:rsidP="00FA62AB">
            <w:pPr>
              <w:rPr>
                <w:rFonts w:cstheme="minorHAnsi"/>
                <w:sz w:val="20"/>
                <w:szCs w:val="20"/>
              </w:rPr>
            </w:pPr>
            <w:r w:rsidRPr="00ED329A">
              <w:rPr>
                <w:rFonts w:cstheme="minorHAnsi"/>
                <w:sz w:val="20"/>
                <w:szCs w:val="20"/>
              </w:rPr>
              <w:t xml:space="preserve">We forecast that </w:t>
            </w:r>
            <w:proofErr w:type="spellStart"/>
            <w:r w:rsidRPr="00ED329A">
              <w:rPr>
                <w:rFonts w:cstheme="minorHAnsi"/>
                <w:sz w:val="20"/>
                <w:szCs w:val="20"/>
              </w:rPr>
              <w:t>approx</w:t>
            </w:r>
            <w:proofErr w:type="spellEnd"/>
            <w:r w:rsidRPr="00ED329A">
              <w:rPr>
                <w:rFonts w:cstheme="minorHAnsi"/>
                <w:sz w:val="20"/>
                <w:szCs w:val="20"/>
              </w:rPr>
              <w:t xml:space="preserve"> </w:t>
            </w:r>
            <w:r w:rsidR="004D292F">
              <w:rPr>
                <w:rFonts w:cstheme="minorHAnsi"/>
                <w:b/>
                <w:sz w:val="20"/>
                <w:szCs w:val="20"/>
              </w:rPr>
              <w:t>9</w:t>
            </w:r>
            <w:r w:rsidR="00436264">
              <w:rPr>
                <w:rFonts w:cstheme="minorHAnsi"/>
                <w:b/>
                <w:sz w:val="20"/>
                <w:szCs w:val="20"/>
              </w:rPr>
              <w:t>0</w:t>
            </w:r>
            <w:r w:rsidRPr="00ED329A">
              <w:rPr>
                <w:rFonts w:cstheme="minorHAnsi"/>
                <w:b/>
                <w:sz w:val="20"/>
                <w:szCs w:val="20"/>
              </w:rPr>
              <w:t>%</w:t>
            </w:r>
            <w:r w:rsidRPr="00ED329A">
              <w:rPr>
                <w:rFonts w:cstheme="minorHAnsi"/>
                <w:sz w:val="20"/>
                <w:szCs w:val="20"/>
              </w:rPr>
              <w:t xml:space="preserve"> of our log </w:t>
            </w:r>
            <w:r w:rsidR="00436264">
              <w:rPr>
                <w:rFonts w:cstheme="minorHAnsi"/>
                <w:sz w:val="20"/>
                <w:szCs w:val="20"/>
              </w:rPr>
              <w:t>raw material requirement in 201</w:t>
            </w:r>
            <w:r w:rsidR="008C6FD9">
              <w:rPr>
                <w:rFonts w:cstheme="minorHAnsi"/>
                <w:sz w:val="20"/>
                <w:szCs w:val="20"/>
              </w:rPr>
              <w:t>8</w:t>
            </w:r>
            <w:bookmarkStart w:id="0" w:name="_GoBack"/>
            <w:bookmarkEnd w:id="0"/>
            <w:r w:rsidR="00A52A00">
              <w:rPr>
                <w:rFonts w:cstheme="minorHAnsi"/>
                <w:sz w:val="20"/>
                <w:szCs w:val="20"/>
              </w:rPr>
              <w:t xml:space="preserve"> </w:t>
            </w:r>
            <w:r w:rsidRPr="00ED329A">
              <w:rPr>
                <w:rFonts w:cstheme="minorHAnsi"/>
                <w:sz w:val="20"/>
                <w:szCs w:val="20"/>
              </w:rPr>
              <w:t>will be sourced directly from managed plantations</w:t>
            </w:r>
            <w:r w:rsidR="003C5290" w:rsidRPr="00ED329A">
              <w:rPr>
                <w:rFonts w:cstheme="minorHAnsi"/>
                <w:sz w:val="20"/>
                <w:szCs w:val="20"/>
              </w:rPr>
              <w:t xml:space="preserve"> in Uruguay</w:t>
            </w:r>
            <w:r w:rsidRPr="00ED329A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BA5523" w:rsidRPr="00ED329A" w:rsidRDefault="00BA5523" w:rsidP="00FA62AB">
            <w:pPr>
              <w:rPr>
                <w:rFonts w:cstheme="minorHAnsi"/>
                <w:sz w:val="20"/>
                <w:szCs w:val="20"/>
              </w:rPr>
            </w:pPr>
          </w:p>
          <w:p w:rsidR="00436264" w:rsidRDefault="00E65201" w:rsidP="00FA62A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Lumin</w:t>
            </w:r>
            <w:r w:rsidR="00BA5523" w:rsidRPr="00ED329A">
              <w:rPr>
                <w:rFonts w:cstheme="minorHAnsi"/>
                <w:sz w:val="20"/>
                <w:szCs w:val="20"/>
              </w:rPr>
              <w:t xml:space="preserve"> timberlands operations are principally in the </w:t>
            </w:r>
            <w:r w:rsidR="00BA5523" w:rsidRPr="00ED329A">
              <w:rPr>
                <w:rStyle w:val="left"/>
                <w:rFonts w:cstheme="minorHAnsi"/>
                <w:sz w:val="20"/>
                <w:szCs w:val="20"/>
                <w:lang w:val="en-US"/>
              </w:rPr>
              <w:t xml:space="preserve">departments of Rivera, Tacuarembó, Cerro Largo, </w:t>
            </w:r>
            <w:r w:rsidR="004D292F">
              <w:rPr>
                <w:rStyle w:val="left"/>
                <w:rFonts w:cstheme="minorHAnsi"/>
                <w:sz w:val="20"/>
                <w:szCs w:val="20"/>
                <w:lang w:val="en-US"/>
              </w:rPr>
              <w:t>Treinta y Tres</w:t>
            </w:r>
            <w:r w:rsidR="00C11823" w:rsidRPr="00ED329A">
              <w:rPr>
                <w:rFonts w:cstheme="minorHAnsi"/>
                <w:sz w:val="20"/>
                <w:szCs w:val="20"/>
              </w:rPr>
              <w:t xml:space="preserve">. The balance of </w:t>
            </w:r>
            <w:r w:rsidR="00BA5523" w:rsidRPr="00ED329A">
              <w:rPr>
                <w:rFonts w:cstheme="minorHAnsi"/>
                <w:sz w:val="20"/>
                <w:szCs w:val="20"/>
                <w:lang w:val="en-US"/>
              </w:rPr>
              <w:t xml:space="preserve">raw material (including certified and ‘controlled wood’) will be purchased directly from plantation owners within the Uruguayan departments outlined above. </w:t>
            </w:r>
            <w:r w:rsidR="00436264">
              <w:rPr>
                <w:rFonts w:cstheme="minorHAnsi"/>
                <w:sz w:val="20"/>
                <w:szCs w:val="20"/>
                <w:lang w:val="en-US"/>
              </w:rPr>
              <w:t>In addition, to complete our supply, we buy the remaining % wood from premium suppliers like GMO,</w:t>
            </w:r>
            <w:r w:rsidR="00CA32C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36264">
              <w:rPr>
                <w:rFonts w:cstheme="minorHAnsi"/>
                <w:sz w:val="20"/>
                <w:szCs w:val="20"/>
                <w:lang w:val="en-US"/>
              </w:rPr>
              <w:t>GFP and UPM.</w:t>
            </w:r>
          </w:p>
          <w:p w:rsidR="00BA5523" w:rsidRPr="00ED329A" w:rsidRDefault="003C5290" w:rsidP="00FA62A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329A">
              <w:rPr>
                <w:rFonts w:cstheme="minorHAnsi"/>
                <w:sz w:val="20"/>
                <w:szCs w:val="20"/>
                <w:lang w:val="en-US"/>
              </w:rPr>
              <w:t>*</w:t>
            </w:r>
            <w:r w:rsidR="00BA5523" w:rsidRPr="00ED329A">
              <w:rPr>
                <w:rFonts w:cstheme="minorHAnsi"/>
                <w:sz w:val="20"/>
                <w:szCs w:val="20"/>
                <w:lang w:val="en-US"/>
              </w:rPr>
              <w:t>Additional details of these are available on request.</w:t>
            </w:r>
          </w:p>
          <w:p w:rsidR="00BA5523" w:rsidRPr="00ED329A" w:rsidRDefault="00BA5523" w:rsidP="00FA62A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</w:tr>
      <w:tr w:rsidR="00BA5523" w:rsidRPr="00ED329A" w:rsidTr="00FA62AB">
        <w:tc>
          <w:tcPr>
            <w:tcW w:w="3652" w:type="dxa"/>
          </w:tcPr>
          <w:p w:rsidR="00BA5523" w:rsidRPr="00ED329A" w:rsidRDefault="00BA5523" w:rsidP="00FA62AB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D329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Applicable Forest Management Certification Numbers</w:t>
            </w:r>
          </w:p>
        </w:tc>
        <w:tc>
          <w:tcPr>
            <w:tcW w:w="5924" w:type="dxa"/>
          </w:tcPr>
          <w:p w:rsidR="00BA5523" w:rsidRPr="00ED329A" w:rsidRDefault="00BA5523" w:rsidP="00FA62AB">
            <w:pPr>
              <w:rPr>
                <w:rFonts w:cstheme="minorHAnsi"/>
                <w:sz w:val="20"/>
                <w:szCs w:val="20"/>
              </w:rPr>
            </w:pPr>
            <w:r w:rsidRPr="00ED329A">
              <w:rPr>
                <w:rFonts w:cstheme="minorHAnsi"/>
                <w:sz w:val="20"/>
                <w:szCs w:val="20"/>
              </w:rPr>
              <w:t xml:space="preserve">PEFC FM Cert = </w:t>
            </w:r>
            <w:r w:rsidR="00E2006D">
              <w:rPr>
                <w:color w:val="1F497D"/>
              </w:rPr>
              <w:t>UY11/20080087</w:t>
            </w:r>
          </w:p>
          <w:p w:rsidR="00BA5523" w:rsidRPr="00ED329A" w:rsidRDefault="00BA5523" w:rsidP="00FA62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5523" w:rsidRPr="00ED329A" w:rsidTr="00FA62AB">
        <w:tc>
          <w:tcPr>
            <w:tcW w:w="3652" w:type="dxa"/>
          </w:tcPr>
          <w:p w:rsidR="00BA5523" w:rsidRPr="00ED329A" w:rsidRDefault="00BA5523" w:rsidP="00FA62A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ED329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Manufacturing facility name and address</w:t>
            </w:r>
          </w:p>
        </w:tc>
        <w:tc>
          <w:tcPr>
            <w:tcW w:w="5924" w:type="dxa"/>
          </w:tcPr>
          <w:p w:rsidR="00BA5523" w:rsidRPr="00436264" w:rsidRDefault="00E70A73" w:rsidP="00FA62AB">
            <w:pPr>
              <w:rPr>
                <w:rFonts w:cstheme="minorHAnsi"/>
                <w:sz w:val="20"/>
                <w:szCs w:val="20"/>
                <w:lang w:val="es-UY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s-UY"/>
              </w:rPr>
              <w:t>Uruply</w:t>
            </w:r>
            <w:proofErr w:type="spellEnd"/>
            <w:r w:rsidR="00BA5523" w:rsidRPr="00436264">
              <w:rPr>
                <w:rFonts w:cstheme="minorHAnsi"/>
                <w:sz w:val="20"/>
                <w:szCs w:val="20"/>
                <w:lang w:val="es-UY"/>
              </w:rPr>
              <w:t xml:space="preserve"> S.A.</w:t>
            </w:r>
          </w:p>
          <w:p w:rsidR="00BA5523" w:rsidRPr="00436264" w:rsidRDefault="00BA5523" w:rsidP="00FA62AB">
            <w:pPr>
              <w:autoSpaceDE w:val="0"/>
              <w:autoSpaceDN w:val="0"/>
              <w:rPr>
                <w:rFonts w:cstheme="minorHAnsi"/>
                <w:sz w:val="20"/>
                <w:szCs w:val="20"/>
                <w:lang w:val="es-UY"/>
              </w:rPr>
            </w:pPr>
            <w:r w:rsidRPr="00436264">
              <w:rPr>
                <w:rFonts w:cstheme="minorHAnsi"/>
                <w:sz w:val="20"/>
                <w:szCs w:val="20"/>
                <w:lang w:val="es-UY"/>
              </w:rPr>
              <w:t>Paraje PASO DEL MANCO</w:t>
            </w:r>
          </w:p>
          <w:p w:rsidR="00BA5523" w:rsidRPr="00ED329A" w:rsidRDefault="00BA5523" w:rsidP="00FA62A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ED329A">
              <w:rPr>
                <w:rFonts w:cstheme="minorHAnsi"/>
                <w:sz w:val="20"/>
                <w:szCs w:val="20"/>
                <w:lang w:val="en-US"/>
              </w:rPr>
              <w:t>Ruta</w:t>
            </w:r>
            <w:proofErr w:type="spellEnd"/>
            <w:r w:rsidRPr="00ED329A">
              <w:rPr>
                <w:rFonts w:cstheme="minorHAnsi"/>
                <w:sz w:val="20"/>
                <w:szCs w:val="20"/>
                <w:lang w:val="en-US"/>
              </w:rPr>
              <w:t xml:space="preserve"> 5 Km 400.5</w:t>
            </w:r>
          </w:p>
          <w:p w:rsidR="00BA5523" w:rsidRPr="00ED329A" w:rsidRDefault="00BA5523" w:rsidP="00FA62A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329A">
              <w:rPr>
                <w:rFonts w:cstheme="minorHAnsi"/>
                <w:sz w:val="20"/>
                <w:szCs w:val="20"/>
                <w:lang w:val="en-US"/>
              </w:rPr>
              <w:t>Tacuarembó</w:t>
            </w:r>
          </w:p>
          <w:p w:rsidR="00BA5523" w:rsidRPr="00ED329A" w:rsidRDefault="00BA5523" w:rsidP="00FA62AB">
            <w:pPr>
              <w:rPr>
                <w:rFonts w:cstheme="minorHAnsi"/>
                <w:sz w:val="20"/>
                <w:szCs w:val="20"/>
              </w:rPr>
            </w:pPr>
            <w:r w:rsidRPr="00ED329A">
              <w:rPr>
                <w:rFonts w:cstheme="minorHAnsi"/>
                <w:sz w:val="20"/>
                <w:szCs w:val="20"/>
              </w:rPr>
              <w:t xml:space="preserve">Uruguay </w:t>
            </w:r>
          </w:p>
          <w:p w:rsidR="00BA5523" w:rsidRPr="00ED329A" w:rsidRDefault="00BA5523" w:rsidP="00FA62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5523" w:rsidRPr="00ED329A" w:rsidTr="00FA62AB">
        <w:tc>
          <w:tcPr>
            <w:tcW w:w="3652" w:type="dxa"/>
          </w:tcPr>
          <w:p w:rsidR="00BA5523" w:rsidRPr="00ED329A" w:rsidRDefault="00BA5523" w:rsidP="00FA62AB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ED329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Applicable Chain of Custody Certification Numbers </w:t>
            </w:r>
          </w:p>
        </w:tc>
        <w:tc>
          <w:tcPr>
            <w:tcW w:w="5924" w:type="dxa"/>
          </w:tcPr>
          <w:p w:rsidR="00BA5523" w:rsidRPr="00ED329A" w:rsidRDefault="00E2006D" w:rsidP="00FA62A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SGS-PEFC/COC </w:t>
            </w:r>
            <w:r>
              <w:rPr>
                <w:color w:val="1F497D"/>
              </w:rPr>
              <w:t>UY11/20080090</w:t>
            </w:r>
          </w:p>
          <w:p w:rsidR="00BA5523" w:rsidRPr="00ED329A" w:rsidRDefault="00BA5523" w:rsidP="00FA62A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A5523" w:rsidRPr="00BC46D2" w:rsidRDefault="00BA5523" w:rsidP="00BA5523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BA5523" w:rsidRPr="00BC46D2" w:rsidRDefault="00C11823" w:rsidP="00BC46D2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1F497D"/>
          <w:sz w:val="20"/>
          <w:szCs w:val="20"/>
        </w:rPr>
      </w:pPr>
      <w:r w:rsidRPr="00BC46D2">
        <w:rPr>
          <w:rFonts w:asciiTheme="minorHAnsi" w:hAnsiTheme="minorHAnsi" w:cstheme="minorHAnsi"/>
          <w:b/>
          <w:bCs/>
          <w:sz w:val="20"/>
          <w:szCs w:val="20"/>
        </w:rPr>
        <w:t>F</w:t>
      </w:r>
      <w:r w:rsidR="00BA5523" w:rsidRPr="00BC46D2">
        <w:rPr>
          <w:rFonts w:asciiTheme="minorHAnsi" w:hAnsiTheme="minorHAnsi" w:cstheme="minorHAnsi"/>
          <w:b/>
          <w:bCs/>
          <w:sz w:val="20"/>
          <w:szCs w:val="20"/>
        </w:rPr>
        <w:t xml:space="preserve">or information regarding </w:t>
      </w:r>
      <w:r w:rsidR="00E70A73">
        <w:rPr>
          <w:rFonts w:asciiTheme="minorHAnsi" w:hAnsiTheme="minorHAnsi" w:cstheme="minorHAnsi"/>
          <w:b/>
          <w:bCs/>
          <w:sz w:val="20"/>
          <w:szCs w:val="20"/>
        </w:rPr>
        <w:t>Lumin</w:t>
      </w:r>
      <w:r w:rsidR="00BA5523" w:rsidRPr="00BC46D2">
        <w:rPr>
          <w:rFonts w:asciiTheme="minorHAnsi" w:hAnsiTheme="minorHAnsi" w:cstheme="minorHAnsi"/>
          <w:b/>
          <w:bCs/>
          <w:sz w:val="20"/>
          <w:szCs w:val="20"/>
        </w:rPr>
        <w:t xml:space="preserve"> operations in Uruguay and Lumin products please visit</w:t>
      </w:r>
      <w:r w:rsidR="00BC46D2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hyperlink r:id="rId6" w:history="1">
        <w:r w:rsidR="00BA5523" w:rsidRPr="00BC46D2">
          <w:rPr>
            <w:rStyle w:val="Hyperlink"/>
            <w:rFonts w:asciiTheme="minorHAnsi" w:hAnsiTheme="minorHAnsi" w:cstheme="minorHAnsi"/>
            <w:b/>
            <w:sz w:val="20"/>
            <w:szCs w:val="20"/>
          </w:rPr>
          <w:t>www.lumin.com</w:t>
        </w:r>
      </w:hyperlink>
    </w:p>
    <w:p w:rsidR="00C11823" w:rsidRPr="00BC46D2" w:rsidRDefault="00C11823" w:rsidP="00BA5523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A5523" w:rsidRPr="00253263" w:rsidRDefault="00BA5523" w:rsidP="00BC46D2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53263">
        <w:rPr>
          <w:rFonts w:asciiTheme="minorHAnsi" w:hAnsiTheme="minorHAnsi" w:cstheme="minorHAnsi"/>
          <w:b/>
          <w:color w:val="auto"/>
          <w:sz w:val="20"/>
          <w:szCs w:val="20"/>
        </w:rPr>
        <w:t xml:space="preserve">For further information on EUTR and LUMIN plywood, please contact </w:t>
      </w:r>
      <w:r w:rsidR="00253263" w:rsidRPr="00253263">
        <w:rPr>
          <w:rFonts w:asciiTheme="minorHAnsi" w:hAnsiTheme="minorHAnsi" w:cstheme="minorHAnsi"/>
          <w:b/>
          <w:color w:val="auto"/>
          <w:sz w:val="20"/>
          <w:szCs w:val="20"/>
        </w:rPr>
        <w:t xml:space="preserve">Denis Kearney at </w:t>
      </w:r>
      <w:hyperlink r:id="rId7" w:history="1">
        <w:r w:rsidR="00E70A73" w:rsidRPr="00DC0EE8">
          <w:rPr>
            <w:rStyle w:val="Hyperlink"/>
            <w:rFonts w:asciiTheme="minorHAnsi" w:hAnsiTheme="minorHAnsi" w:cstheme="minorHAnsi"/>
            <w:sz w:val="20"/>
            <w:szCs w:val="20"/>
          </w:rPr>
          <w:t>Denis.Kearney@lumin.com</w:t>
        </w:r>
      </w:hyperlink>
      <w:r w:rsidR="007E02F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   </w:t>
      </w:r>
      <w:r w:rsidR="00FA49F1">
        <w:rPr>
          <w:rFonts w:asciiTheme="minorHAnsi" w:hAnsiTheme="minorHAnsi" w:cstheme="minorHAnsi"/>
          <w:b/>
          <w:color w:val="auto"/>
          <w:sz w:val="20"/>
          <w:szCs w:val="20"/>
        </w:rPr>
        <w:t>phone +353 (0)21 4630555</w:t>
      </w:r>
    </w:p>
    <w:p w:rsidR="00C84498" w:rsidRPr="00ED329A" w:rsidRDefault="00C84498">
      <w:pPr>
        <w:rPr>
          <w:rFonts w:cstheme="minorHAnsi"/>
        </w:rPr>
      </w:pPr>
    </w:p>
    <w:sectPr w:rsidR="00C84498" w:rsidRPr="00ED329A" w:rsidSect="00C11823">
      <w:pgSz w:w="12240" w:h="15840"/>
      <w:pgMar w:top="851" w:right="1440" w:bottom="9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54240"/>
    <w:multiLevelType w:val="hybridMultilevel"/>
    <w:tmpl w:val="B8F89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523"/>
    <w:rsid w:val="002023F5"/>
    <w:rsid w:val="00253263"/>
    <w:rsid w:val="002656CD"/>
    <w:rsid w:val="003C5290"/>
    <w:rsid w:val="00436264"/>
    <w:rsid w:val="004D292F"/>
    <w:rsid w:val="005A27C8"/>
    <w:rsid w:val="007A41FA"/>
    <w:rsid w:val="007E02F6"/>
    <w:rsid w:val="00863C29"/>
    <w:rsid w:val="008C6FD9"/>
    <w:rsid w:val="00A3587B"/>
    <w:rsid w:val="00A52A00"/>
    <w:rsid w:val="00AE5198"/>
    <w:rsid w:val="00BA5523"/>
    <w:rsid w:val="00BC46D2"/>
    <w:rsid w:val="00C11823"/>
    <w:rsid w:val="00C84498"/>
    <w:rsid w:val="00CA32CD"/>
    <w:rsid w:val="00E2006D"/>
    <w:rsid w:val="00E65201"/>
    <w:rsid w:val="00E70A73"/>
    <w:rsid w:val="00ED329A"/>
    <w:rsid w:val="00F27558"/>
    <w:rsid w:val="00FA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8D99BD"/>
  <w15:docId w15:val="{7D230504-8ED3-443B-ABA3-219E2A74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523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552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A55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5523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ft">
    <w:name w:val="left"/>
    <w:basedOn w:val="DefaultParagraphFont"/>
    <w:rsid w:val="00BA5523"/>
  </w:style>
  <w:style w:type="paragraph" w:styleId="BalloonText">
    <w:name w:val="Balloon Text"/>
    <w:basedOn w:val="Normal"/>
    <w:link w:val="BalloonTextChar"/>
    <w:uiPriority w:val="99"/>
    <w:semiHidden/>
    <w:unhideWhenUsed/>
    <w:rsid w:val="00BA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23"/>
    <w:rPr>
      <w:rFonts w:ascii="Tahoma" w:eastAsiaTheme="minorEastAsia" w:hAnsi="Tahoma" w:cs="Tahoma"/>
      <w:sz w:val="16"/>
      <w:szCs w:val="16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0A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nis.Kearney@lum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mi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Weyerhaeuser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Weyerhaeuser</dc:creator>
  <cp:lastModifiedBy>Kearney, Denis</cp:lastModifiedBy>
  <cp:revision>3</cp:revision>
  <dcterms:created xsi:type="dcterms:W3CDTF">2019-02-25T11:45:00Z</dcterms:created>
  <dcterms:modified xsi:type="dcterms:W3CDTF">2019-02-25T11:45:00Z</dcterms:modified>
</cp:coreProperties>
</file>